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Rural Health Transformation Competition</w:t>
      </w:r>
    </w:p>
    <w:p>
      <w:r>
        <w:rPr>
          <w:i/>
          <w:color w:val="505050"/>
          <w:sz w:val="21"/>
        </w:rPr>
        <w:t>One week challenge package open to all participants presented by Idaho Advanced Consulting and Cornerstone Whole Healthcare</w:t>
      </w:r>
    </w:p>
    <w:p>
      <w:r>
        <w:t>The challenge asks teams to design a financially sustainable, low-volume rural primary care model for Challis, Idaho. Teams will use a fictional clinic dataset to understand the cost, staffing, payer, service-line, and access constraints facing a small clinic. The case assumes a $1.5 million rural health transformation launch grant. The goal is an implementable model that improves access without relying on permanent subsidy after the grant period.</w:t>
      </w:r>
    </w:p>
    <w:p>
      <w:pPr>
        <w:pStyle w:val="Heading1"/>
      </w:pPr>
      <w:r>
        <w:t>The challenge</w:t>
      </w:r>
    </w:p>
    <w:p>
      <w:r>
        <w:t>A small rural clinic can be essential to its community and still be financially fragile. Fixed real estate, staffing, technology, compliance, and supply costs do not fall in proportion to patient volume. Reimbursement may not cover the full cost of care, and an uninsured or underinsured population adds an access challenge. A grant can launch a change, but the proposed operating model should stand on durable revenue, cost, and partnership logic after grant funding ends.</w:t>
      </w:r>
    </w:p>
    <w:p>
      <w:pPr>
        <w:pStyle w:val="Heading1"/>
      </w:pPr>
      <w:r>
        <w:t>Your assignment</w:t>
      </w:r>
    </w:p>
    <w:p>
      <w:pPr>
        <w:pStyle w:val="ListBullet"/>
      </w:pPr>
      <w:r>
        <w:t>Use the synthetic workbook to diagnose the fictional clinic’s current operating economics.</w:t>
      </w:r>
    </w:p>
    <w:p>
      <w:pPr>
        <w:pStyle w:val="ListBullet"/>
      </w:pPr>
      <w:r>
        <w:t>Propose a model that can reach or materially improve sustainability at low patient volume while preserving access for uninsured and underinsured residents.</w:t>
      </w:r>
    </w:p>
    <w:p>
      <w:pPr>
        <w:pStyle w:val="ListBullet"/>
      </w:pPr>
      <w:r>
        <w:t>Show how the model works in practice: operations, staffing, technology, partners, patient flow, economics, and risks.</w:t>
      </w:r>
    </w:p>
    <w:p>
      <w:pPr>
        <w:pStyle w:val="ListBullet"/>
      </w:pPr>
      <w:r>
        <w:t>Build a concise recommendation suitable for a future rural health transformation grant application.</w:t>
      </w:r>
    </w:p>
    <w:p>
      <w:pPr>
        <w:pStyle w:val="Heading1"/>
      </w:pPr>
      <w:r>
        <w:t>What strong solutions may explore</w:t>
      </w:r>
    </w:p>
    <w:tbl>
      <w:tblPr>
        <w:tblW w:type="auto" w:w="0"/>
        <w:jc w:val="center"/>
        <w:tblLayout w:type="fixed"/>
        <w:tblLook w:firstColumn="1" w:firstRow="1" w:lastColumn="0" w:lastRow="0" w:noHBand="0" w:noVBand="1" w:val="04A0"/>
      </w:tblPr>
      <w:tblGrid>
        <w:gridCol w:w="4997"/>
        <w:gridCol w:w="4997"/>
      </w:tblGrid>
      <w:tr>
        <w:tc>
          <w:tcPr>
            <w:tcW w:type="dxa" w:w="2376"/>
            <w:shd w:fill="17365D"/>
            <w:tcBorders>
              <w:top w:val="single" w:sz="4" w:color="D9D9D9"/>
              <w:left w:val="single" w:sz="4" w:color="D9D9D9"/>
              <w:bottom w:val="single" w:sz="4" w:color="D9D9D9"/>
              <w:right w:val="single" w:sz="4" w:color="D9D9D9"/>
              <w:insideH w:val="single" w:sz="4" w:color="D9D9D9"/>
              <w:insideV w:val="single" w:sz="4" w:color="D9D9D9"/>
            </w:tcBorders>
            <w:vAlign w:val="center"/>
          </w:tcPr>
          <w:p>
            <w:r>
              <w:rPr>
                <w:b/>
                <w:color w:val="FFFFFF"/>
                <w:sz w:val="18"/>
              </w:rPr>
              <w:t>Theme</w:t>
            </w:r>
          </w:p>
        </w:tc>
        <w:tc>
          <w:tcPr>
            <w:tcW w:type="dxa" w:w="7416"/>
            <w:shd w:fill="17365D"/>
            <w:tcBorders>
              <w:top w:val="single" w:sz="4" w:color="D9D9D9"/>
              <w:left w:val="single" w:sz="4" w:color="D9D9D9"/>
              <w:bottom w:val="single" w:sz="4" w:color="D9D9D9"/>
              <w:right w:val="single" w:sz="4" w:color="D9D9D9"/>
              <w:insideH w:val="single" w:sz="4" w:color="D9D9D9"/>
              <w:insideV w:val="single" w:sz="4" w:color="D9D9D9"/>
            </w:tcBorders>
            <w:vAlign w:val="center"/>
          </w:tcPr>
          <w:p>
            <w:r>
              <w:rPr>
                <w:b/>
                <w:color w:val="FFFFFF"/>
                <w:sz w:val="18"/>
              </w:rPr>
              <w:t>Illustrative directions</w:t>
            </w:r>
          </w:p>
        </w:tc>
      </w:tr>
      <w:tr>
        <w:tc>
          <w:tcPr>
            <w:tcW w:type="dxa" w:w="2376"/>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Asset and location strategy</w:t>
            </w:r>
          </w:p>
        </w:tc>
        <w:tc>
          <w:tcPr>
            <w:tcW w:type="dxa" w:w="7416"/>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Shared or owned real estate, rotating specialty or mobile care days, co-location, regional service hubs, or lease structures that lower fixed cost.</w:t>
            </w:r>
          </w:p>
        </w:tc>
      </w:tr>
      <w:tr>
        <w:tc>
          <w:tcPr>
            <w:tcW w:type="dxa" w:w="2376"/>
            <w:shd w:fill="F2F2F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Care delivery</w:t>
            </w:r>
          </w:p>
        </w:tc>
        <w:tc>
          <w:tcPr>
            <w:tcW w:type="dxa" w:w="7416"/>
            <w:shd w:fill="F2F2F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Team-based primary care, hybrid virtual and in-person care, mobile clinics, community health workers, pharmacy integration, or regional staffing pools.</w:t>
            </w:r>
          </w:p>
        </w:tc>
      </w:tr>
      <w:tr>
        <w:tc>
          <w:tcPr>
            <w:tcW w:type="dxa" w:w="2376"/>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Revenue and affordability</w:t>
            </w:r>
          </w:p>
        </w:tc>
        <w:tc>
          <w:tcPr>
            <w:tcW w:type="dxa" w:w="7416"/>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Service lines with a credible margin contribution, contracts, value-based arrangements, sliding-scale pathways, employer or community partnerships, and better collection design.</w:t>
            </w:r>
          </w:p>
        </w:tc>
      </w:tr>
      <w:tr>
        <w:tc>
          <w:tcPr>
            <w:tcW w:type="dxa" w:w="2376"/>
            <w:shd w:fill="F2F2F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Data and deployment</w:t>
            </w:r>
          </w:p>
        </w:tc>
        <w:tc>
          <w:tcPr>
            <w:tcW w:type="dxa" w:w="7416"/>
            <w:shd w:fill="F2F2F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EHR-enabled identification of unmet need, risk stratification, no-show reduction, capacity matching, and better placement of mobile or rotating services.</w:t>
            </w:r>
          </w:p>
        </w:tc>
      </w:tr>
      <w:tr>
        <w:tc>
          <w:tcPr>
            <w:tcW w:type="dxa" w:w="2376"/>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Operations and technology</w:t>
            </w:r>
          </w:p>
        </w:tc>
        <w:tc>
          <w:tcPr>
            <w:tcW w:type="dxa" w:w="7416"/>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New workflows, scheduling, documentation, automation, procurement, clinical support, and other changes that safely reduce cost per encounter.</w:t>
            </w:r>
          </w:p>
        </w:tc>
      </w:tr>
    </w:tbl>
    <w:p>
      <w:pPr>
        <w:spacing w:after="40"/>
      </w:pPr>
    </w:p>
    <w:p>
      <w:pPr>
        <w:pStyle w:val="Heading1"/>
      </w:pPr>
      <w:r>
        <w:t>Required submission</w:t>
      </w:r>
    </w:p>
    <w:tbl>
      <w:tblPr>
        <w:tblW w:type="auto" w:w="0"/>
        <w:jc w:val="center"/>
        <w:tblLayout w:type="fixed"/>
        <w:tblLook w:firstColumn="1" w:firstRow="1" w:lastColumn="0" w:lastRow="0" w:noHBand="0" w:noVBand="1" w:val="04A0"/>
      </w:tblPr>
      <w:tblGrid>
        <w:gridCol w:w="4997"/>
        <w:gridCol w:w="4997"/>
      </w:tblGrid>
      <w:tr>
        <w:tc>
          <w:tcPr>
            <w:tcW w:type="dxa" w:w="2376"/>
            <w:shd w:fill="17365D"/>
            <w:tcBorders>
              <w:top w:val="single" w:sz="4" w:color="D9D9D9"/>
              <w:left w:val="single" w:sz="4" w:color="D9D9D9"/>
              <w:bottom w:val="single" w:sz="4" w:color="D9D9D9"/>
              <w:right w:val="single" w:sz="4" w:color="D9D9D9"/>
              <w:insideH w:val="single" w:sz="4" w:color="D9D9D9"/>
              <w:insideV w:val="single" w:sz="4" w:color="D9D9D9"/>
            </w:tcBorders>
            <w:vAlign w:val="center"/>
          </w:tcPr>
          <w:p>
            <w:r>
              <w:rPr>
                <w:b/>
                <w:color w:val="FFFFFF"/>
                <w:sz w:val="18"/>
              </w:rPr>
              <w:t>Component</w:t>
            </w:r>
          </w:p>
        </w:tc>
        <w:tc>
          <w:tcPr>
            <w:tcW w:type="dxa" w:w="7416"/>
            <w:shd w:fill="17365D"/>
            <w:tcBorders>
              <w:top w:val="single" w:sz="4" w:color="D9D9D9"/>
              <w:left w:val="single" w:sz="4" w:color="D9D9D9"/>
              <w:bottom w:val="single" w:sz="4" w:color="D9D9D9"/>
              <w:right w:val="single" w:sz="4" w:color="D9D9D9"/>
              <w:insideH w:val="single" w:sz="4" w:color="D9D9D9"/>
              <w:insideV w:val="single" w:sz="4" w:color="D9D9D9"/>
            </w:tcBorders>
            <w:vAlign w:val="center"/>
          </w:tcPr>
          <w:p>
            <w:r>
              <w:rPr>
                <w:b/>
                <w:color w:val="FFFFFF"/>
                <w:sz w:val="18"/>
              </w:rPr>
              <w:t>What to include</w:t>
            </w:r>
          </w:p>
        </w:tc>
      </w:tr>
      <w:tr>
        <w:tc>
          <w:tcPr>
            <w:tcW w:type="dxa" w:w="2376"/>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Executive summary</w:t>
            </w:r>
          </w:p>
        </w:tc>
        <w:tc>
          <w:tcPr>
            <w:tcW w:type="dxa" w:w="7416"/>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The problem, proposed model, expected impact, and why it can last beyond grant funds.</w:t>
            </w:r>
          </w:p>
        </w:tc>
      </w:tr>
      <w:tr>
        <w:tc>
          <w:tcPr>
            <w:tcW w:type="dxa" w:w="2376"/>
            <w:shd w:fill="F2F2F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Operating model</w:t>
            </w:r>
          </w:p>
        </w:tc>
        <w:tc>
          <w:tcPr>
            <w:tcW w:type="dxa" w:w="7416"/>
            <w:shd w:fill="F2F2F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Who is served, where and how care is delivered, staffing, partners, service mix, and patient journey.</w:t>
            </w:r>
          </w:p>
        </w:tc>
      </w:tr>
      <w:tr>
        <w:tc>
          <w:tcPr>
            <w:tcW w:type="dxa" w:w="2376"/>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Financial model</w:t>
            </w:r>
          </w:p>
        </w:tc>
        <w:tc>
          <w:tcPr>
            <w:tcW w:type="dxa" w:w="7416"/>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Key assumptions, startup use of funds, recurring revenue and costs, break-even logic, sensitivity to volume and payer mix, and affordability plan.</w:t>
            </w:r>
          </w:p>
        </w:tc>
      </w:tr>
      <w:tr>
        <w:tc>
          <w:tcPr>
            <w:tcW w:type="dxa" w:w="2376"/>
            <w:shd w:fill="F2F2F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Implementation plan</w:t>
            </w:r>
          </w:p>
        </w:tc>
        <w:tc>
          <w:tcPr>
            <w:tcW w:type="dxa" w:w="7416"/>
            <w:shd w:fill="F2F2F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First 90 days, 12-month milestones, dependencies, risks, and measures of success.</w:t>
            </w:r>
          </w:p>
        </w:tc>
      </w:tr>
      <w:tr>
        <w:tc>
          <w:tcPr>
            <w:tcW w:type="dxa" w:w="2376"/>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Presentation</w:t>
            </w:r>
          </w:p>
        </w:tc>
        <w:tc>
          <w:tcPr>
            <w:tcW w:type="dxa" w:w="7416"/>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A 7-minute presentation plus a 3-minute question period. Include a spreadsheet model or other evidence supporting your economics.</w:t>
            </w:r>
          </w:p>
        </w:tc>
      </w:tr>
    </w:tbl>
    <w:p>
      <w:pPr>
        <w:spacing w:after="40"/>
      </w:pPr>
    </w:p>
    <w:p>
      <w:pPr>
        <w:pStyle w:val="Heading1"/>
      </w:pPr>
      <w:r>
        <w:t>Dataset and responsible use</w:t>
      </w:r>
    </w:p>
    <w:p>
      <w:r>
        <w:t>The workbook is synthetic training data. Its service-code, payer, and payment patterns are calibrated from the supplied primary-care workbook, then downscaled and regenerated for a low-volume fictional Challis case. All records are invented. Use it only for competition analysis, document adjusted assumptions, and do not use it for clinical care, billing, credentialing, or population health decisions.</w:t>
      </w:r>
    </w:p>
    <w:p>
      <w:pPr>
        <w:pStyle w:val="Heading1"/>
      </w:pPr>
      <w:r>
        <w:t>How entries will be evaluated</w:t>
      </w:r>
    </w:p>
    <w:tbl>
      <w:tblPr>
        <w:tblW w:type="auto" w:w="0"/>
        <w:jc w:val="center"/>
        <w:tblLayout w:type="fixed"/>
        <w:tblLook w:firstColumn="1" w:firstRow="1" w:lastColumn="0" w:lastRow="0" w:noHBand="0" w:noVBand="1" w:val="04A0"/>
      </w:tblPr>
      <w:tblGrid>
        <w:gridCol w:w="4997"/>
        <w:gridCol w:w="4997"/>
      </w:tblGrid>
      <w:tr>
        <w:tc>
          <w:tcPr>
            <w:tcW w:type="dxa" w:w="7200"/>
            <w:shd w:fill="17365D"/>
            <w:tcBorders>
              <w:top w:val="single" w:sz="4" w:color="D9D9D9"/>
              <w:left w:val="single" w:sz="4" w:color="D9D9D9"/>
              <w:bottom w:val="single" w:sz="4" w:color="D9D9D9"/>
              <w:right w:val="single" w:sz="4" w:color="D9D9D9"/>
              <w:insideH w:val="single" w:sz="4" w:color="D9D9D9"/>
              <w:insideV w:val="single" w:sz="4" w:color="D9D9D9"/>
            </w:tcBorders>
            <w:vAlign w:val="center"/>
          </w:tcPr>
          <w:p>
            <w:r>
              <w:rPr>
                <w:b/>
                <w:color w:val="FFFFFF"/>
                <w:sz w:val="18"/>
              </w:rPr>
              <w:t>Criterion</w:t>
            </w:r>
          </w:p>
        </w:tc>
        <w:tc>
          <w:tcPr>
            <w:tcW w:type="dxa" w:w="2592"/>
            <w:shd w:fill="17365D"/>
            <w:tcBorders>
              <w:top w:val="single" w:sz="4" w:color="D9D9D9"/>
              <w:left w:val="single" w:sz="4" w:color="D9D9D9"/>
              <w:bottom w:val="single" w:sz="4" w:color="D9D9D9"/>
              <w:right w:val="single" w:sz="4" w:color="D9D9D9"/>
              <w:insideH w:val="single" w:sz="4" w:color="D9D9D9"/>
              <w:insideV w:val="single" w:sz="4" w:color="D9D9D9"/>
            </w:tcBorders>
            <w:vAlign w:val="center"/>
          </w:tcPr>
          <w:p>
            <w:r>
              <w:rPr>
                <w:b/>
                <w:color w:val="FFFFFF"/>
                <w:sz w:val="18"/>
              </w:rPr>
              <w:t>Weight</w:t>
            </w:r>
          </w:p>
        </w:tc>
      </w:tr>
      <w:tr>
        <w:tc>
          <w:tcPr>
            <w:tcW w:type="dxa" w:w="7200"/>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Financial sustainability and quality of economic logic</w:t>
            </w:r>
          </w:p>
        </w:tc>
        <w:tc>
          <w:tcPr>
            <w:tcW w:type="dxa" w:w="259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30%</w:t>
            </w:r>
          </w:p>
        </w:tc>
      </w:tr>
      <w:tr>
        <w:tc>
          <w:tcPr>
            <w:tcW w:type="dxa" w:w="7200"/>
            <w:shd w:fill="F2F2F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Access, equity, and rural fit</w:t>
            </w:r>
          </w:p>
        </w:tc>
        <w:tc>
          <w:tcPr>
            <w:tcW w:type="dxa" w:w="2592"/>
            <w:shd w:fill="F2F2F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20%</w:t>
            </w:r>
          </w:p>
        </w:tc>
      </w:tr>
      <w:tr>
        <w:tc>
          <w:tcPr>
            <w:tcW w:type="dxa" w:w="7200"/>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Operational feasibility and implementation readiness</w:t>
            </w:r>
          </w:p>
        </w:tc>
        <w:tc>
          <w:tcPr>
            <w:tcW w:type="dxa" w:w="259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20%</w:t>
            </w:r>
          </w:p>
        </w:tc>
      </w:tr>
      <w:tr>
        <w:tc>
          <w:tcPr>
            <w:tcW w:type="dxa" w:w="7200"/>
            <w:shd w:fill="F2F2F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Originality and strategic insight</w:t>
            </w:r>
          </w:p>
        </w:tc>
        <w:tc>
          <w:tcPr>
            <w:tcW w:type="dxa" w:w="2592"/>
            <w:shd w:fill="F2F2F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15%</w:t>
            </w:r>
          </w:p>
        </w:tc>
      </w:tr>
      <w:tr>
        <w:tc>
          <w:tcPr>
            <w:tcW w:type="dxa" w:w="7200"/>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Evidence, assumptions, and communication</w:t>
            </w:r>
          </w:p>
        </w:tc>
        <w:tc>
          <w:tcPr>
            <w:tcW w:type="dxa" w:w="2592"/>
            <w:tcBorders>
              <w:top w:val="single" w:sz="4" w:color="D9D9D9"/>
              <w:left w:val="single" w:sz="4" w:color="D9D9D9"/>
              <w:bottom w:val="single" w:sz="4" w:color="D9D9D9"/>
              <w:right w:val="single" w:sz="4" w:color="D9D9D9"/>
              <w:insideH w:val="single" w:sz="4" w:color="D9D9D9"/>
              <w:insideV w:val="single" w:sz="4" w:color="D9D9D9"/>
            </w:tcBorders>
            <w:vAlign w:val="center"/>
          </w:tcPr>
          <w:p>
            <w:pPr>
              <w:spacing w:after="40" w:before="40"/>
            </w:pPr>
            <w:r>
              <w:rPr>
                <w:sz w:val="18"/>
              </w:rPr>
              <w:t>15%</w:t>
            </w:r>
          </w:p>
        </w:tc>
      </w:tr>
    </w:tbl>
    <w:p>
      <w:pPr>
        <w:spacing w:after="40"/>
      </w:pP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80"/>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60"/>
      <w:outlineLvl w:val="1"/>
    </w:pPr>
    <w:rPr>
      <w:rFonts w:asciiTheme="majorHAnsi" w:eastAsiaTheme="majorEastAsia" w:hAnsiTheme="majorHAnsi" w:cstheme="majorBidi" w:ascii="Arial" w:hAnsi="Arial"/>
      <w:b/>
      <w:bCs/>
      <w:color w:val="000000"/>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color w:val="000000"/>
      <w:spacing w:val="5"/>
      <w:kern w:val="28"/>
      <w:sz w:val="4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